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lineRule="auto" w:line="300" w:before="0" w:afterAutospacing="0" w:after="0"/>
        <w:jc w:val="center"/>
        <w:rPr>
          <w:rFonts w:ascii="Verdana" w:hAnsi="Verdana"/>
          <w:sz w:val="22"/>
          <w:szCs w:val="22"/>
        </w:rPr>
      </w:pPr>
      <w:r>
        <w:rPr>
          <w:rFonts w:cs="Calibri" w:ascii="Verdana" w:hAnsi="Verdana"/>
          <w:b/>
          <w:bCs/>
          <w:sz w:val="22"/>
          <w:szCs w:val="22"/>
        </w:rPr>
        <w:br/>
      </w: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2326640</wp:posOffset>
            </wp:positionH>
            <wp:positionV relativeFrom="paragraph">
              <wp:posOffset>-83820</wp:posOffset>
            </wp:positionV>
            <wp:extent cx="1961515" cy="822325"/>
            <wp:effectExtent l="0" t="0" r="0" b="0"/>
            <wp:wrapNone/>
            <wp:docPr id="1" name="grafik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1" t="-235" r="-101" b="-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ascii="Verdana" w:hAnsi="Verdana"/>
          <w:b/>
          <w:bCs/>
          <w:sz w:val="22"/>
          <w:szCs w:val="22"/>
        </w:rPr>
        <w:tab/>
        <w:tab/>
        <w:tab/>
      </w:r>
    </w:p>
    <w:p>
      <w:pPr>
        <w:pStyle w:val="NormalWeb"/>
        <w:spacing w:lineRule="auto" w:line="300" w:before="0" w:afterAutospacing="0" w:after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Web"/>
        <w:spacing w:lineRule="auto" w:line="300" w:before="0" w:afterAutospacing="0" w:after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Web"/>
        <w:spacing w:lineRule="auto" w:line="300" w:before="0" w:afterAutospacing="0" w:after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Web"/>
        <w:spacing w:lineRule="auto" w:line="300" w:before="0" w:afterAutospacing="0" w:after="0"/>
        <w:jc w:val="center"/>
        <w:rPr>
          <w:rFonts w:ascii="Verdana" w:hAnsi="Verdana"/>
          <w:sz w:val="22"/>
          <w:szCs w:val="22"/>
        </w:rPr>
      </w:pPr>
      <w:r>
        <w:rPr>
          <w:rFonts w:cs="Calibri" w:ascii="Verdana" w:hAnsi="Verdana"/>
          <w:b/>
          <w:bCs/>
          <w:sz w:val="22"/>
          <w:szCs w:val="22"/>
        </w:rPr>
        <w:t>Klauzula informacyjna dotycząca pacjentów</w:t>
      </w:r>
    </w:p>
    <w:p>
      <w:pPr>
        <w:pStyle w:val="NormalWeb"/>
        <w:numPr>
          <w:ilvl w:val="0"/>
          <w:numId w:val="1"/>
        </w:numPr>
        <w:spacing w:before="280" w:afterAutospacing="0" w:after="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Drogi Pacjencie, Administratorem Twoich danych osobowych jest Centrum Rehabilitacji "EKOVITA" Sp. z o.o. z siedzibą przy ul. Klasztornej 23, 42-200 Częstochowa</w:t>
      </w:r>
      <w:bookmarkStart w:id="0" w:name="_GoBack"/>
      <w:bookmarkEnd w:id="0"/>
      <w:r>
        <w:rPr>
          <w:rFonts w:cs="Calibri" w:ascii="Verdana" w:hAnsi="Verdana" w:cstheme="minorHAnsi"/>
          <w:sz w:val="20"/>
          <w:szCs w:val="20"/>
        </w:rPr>
        <w:t xml:space="preserve">, zwany dalej: </w:t>
      </w:r>
      <w:r>
        <w:rPr>
          <w:rFonts w:cs="Calibri" w:ascii="Verdana" w:hAnsi="Verdana" w:cstheme="minorHAnsi"/>
          <w:bCs/>
          <w:sz w:val="20"/>
          <w:szCs w:val="20"/>
        </w:rPr>
        <w:t>„Administratorem”.</w:t>
      </w:r>
      <w:r>
        <w:rPr>
          <w:rFonts w:cs="Calibri" w:ascii="Verdana" w:hAnsi="Verdana" w:cstheme="minorHAnsi"/>
          <w:sz w:val="20"/>
          <w:szCs w:val="20"/>
        </w:rPr>
        <w:t xml:space="preserve"> </w:t>
      </w:r>
    </w:p>
    <w:p>
      <w:pPr>
        <w:pStyle w:val="NormalWeb"/>
        <w:numPr>
          <w:ilvl w:val="0"/>
          <w:numId w:val="1"/>
        </w:numPr>
        <w:spacing w:before="280" w:afterAutospacing="0" w:after="0"/>
        <w:jc w:val="both"/>
        <w:rPr>
          <w:rFonts w:ascii="Verdana" w:hAnsi="Verdana" w:cs="Calibri" w:cstheme="minorHAnsi"/>
          <w:sz w:val="20"/>
          <w:szCs w:val="20"/>
        </w:rPr>
      </w:pPr>
      <w:bookmarkStart w:id="1" w:name="_Ref507499520"/>
      <w:bookmarkEnd w:id="1"/>
      <w:r>
        <w:rPr>
          <w:rFonts w:cs="Calibri" w:ascii="Verdana" w:hAnsi="Verdana" w:cstheme="minorHAnsi"/>
          <w:sz w:val="20"/>
          <w:szCs w:val="20"/>
        </w:rPr>
        <w:t>Administrator powołał Inspektora Ochrony Danych Osobowych z którym można skontaktować się po przez pocztę elektroniczną, pisząc na adres: inspektor@konsulting-agm.pl</w:t>
      </w:r>
    </w:p>
    <w:p>
      <w:pPr>
        <w:pStyle w:val="NormalWeb"/>
        <w:numPr>
          <w:ilvl w:val="0"/>
          <w:numId w:val="1"/>
        </w:numPr>
        <w:spacing w:beforeAutospacing="0" w:before="0" w:afterAutospacing="0" w:after="12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Państwa dane osobowe, jako Pacjentów, przetwarzane będą do celu: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 xml:space="preserve">udzielania na Państwa rzecz świadczeń opieki zdrowotnej określonych w art. 9 ust. 2 lit. h) RODO. </w:t>
        <w:br/>
        <w:t xml:space="preserve">Do celów tych w szczególności należy: </w:t>
      </w:r>
    </w:p>
    <w:p>
      <w:pPr>
        <w:pStyle w:val="NormalWeb"/>
        <w:numPr>
          <w:ilvl w:val="0"/>
          <w:numId w:val="3"/>
        </w:numPr>
        <w:spacing w:beforeAutospacing="0" w:before="0" w:afterAutospacing="0" w:after="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 xml:space="preserve">profilaktyka zdrowotna, diagnoza medyczna i leczenie, zapewnienie opieki zdrowotnej, zarządzanie systemami i usługami opieki zdrowotnej, w tym rejestracja pacjentów, weryfikacja uprawnień do uzyskania świadczenia, zapewnienie zabezpieczenia społecznego oraz zarządzania systemami i usługami zabezpieczenia społecznego, </w:t>
        <w:br/>
        <w:t>w tym wystawianie zaświadczeń lekarskich. Przetwarzanie danych we wskazanych powyżej celach nie wymaga odrębnej indywidualnej zgody Pacjenta;</w:t>
      </w:r>
    </w:p>
    <w:p>
      <w:pPr>
        <w:pStyle w:val="NormalWeb"/>
        <w:numPr>
          <w:ilvl w:val="0"/>
          <w:numId w:val="3"/>
        </w:numPr>
        <w:spacing w:beforeAutospacing="0" w:before="0" w:afterAutospacing="0" w:after="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dokonywania stosownych rozliczeń z tytułu prowadzonej działalności gospodarczej;</w:t>
      </w:r>
    </w:p>
    <w:p>
      <w:pPr>
        <w:pStyle w:val="NormalWeb"/>
        <w:numPr>
          <w:ilvl w:val="0"/>
          <w:numId w:val="3"/>
        </w:numPr>
        <w:spacing w:beforeAutospacing="0" w:before="0" w:afterAutospacing="0" w:after="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obsługi reklamacji w zakresie świadczonych usług oraz odpowiadania na złożone skargi, jeżeli takie zostaną złożone;</w:t>
      </w:r>
    </w:p>
    <w:p>
      <w:pPr>
        <w:pStyle w:val="NormalWeb"/>
        <w:numPr>
          <w:ilvl w:val="0"/>
          <w:numId w:val="3"/>
        </w:numPr>
        <w:spacing w:beforeAutospacing="0" w:before="0" w:afterAutospacing="0" w:after="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archiwizowania Pani/Pana danych zgodnie z obowiązującymi przepisami prawa;</w:t>
      </w:r>
    </w:p>
    <w:p>
      <w:pPr>
        <w:pStyle w:val="NormalWeb"/>
        <w:numPr>
          <w:ilvl w:val="0"/>
          <w:numId w:val="3"/>
        </w:numPr>
        <w:spacing w:beforeAutospacing="0" w:before="0" w:afterAutospacing="0" w:after="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stosowania, za Pani/Pana zgodą, bezpośredniego marketingu usług własnych Administratora.</w:t>
      </w:r>
    </w:p>
    <w:p>
      <w:pPr>
        <w:pStyle w:val="NormalWeb"/>
        <w:spacing w:beforeAutospacing="0" w:before="0" w:afterAutospacing="0" w:after="0"/>
        <w:ind w:left="357"/>
        <w:rPr>
          <w:rFonts w:ascii="Verdana" w:hAnsi="Verdana" w:cs="Calibri" w:cstheme="minorHAnsi"/>
          <w:sz w:val="20"/>
          <w:szCs w:val="20"/>
        </w:rPr>
      </w:pPr>
      <w:r>
        <w:rPr>
          <w:rFonts w:cs="Calibri" w:cstheme="minorHAnsi" w:ascii="Verdana" w:hAnsi="Verdana"/>
          <w:sz w:val="20"/>
          <w:szCs w:val="20"/>
        </w:rPr>
      </w:r>
    </w:p>
    <w:p>
      <w:pPr>
        <w:pStyle w:val="NormalWeb"/>
        <w:numPr>
          <w:ilvl w:val="0"/>
          <w:numId w:val="1"/>
        </w:numPr>
        <w:spacing w:beforeAutospacing="0" w:before="0" w:afterAutospacing="0" w:after="120"/>
        <w:ind w:hanging="360" w:left="357"/>
        <w:jc w:val="both"/>
        <w:rPr>
          <w:rFonts w:ascii="Verdana" w:hAnsi="Verdana" w:cs="Calibri" w:cstheme="minorHAnsi"/>
          <w:bCs/>
          <w:sz w:val="20"/>
          <w:szCs w:val="20"/>
        </w:rPr>
      </w:pPr>
      <w:r>
        <w:rPr>
          <w:rFonts w:cs="Calibri" w:ascii="Verdana" w:hAnsi="Verdana" w:cstheme="minorHAnsi"/>
          <w:bCs/>
          <w:sz w:val="20"/>
          <w:szCs w:val="20"/>
        </w:rPr>
        <w:t>Podstawą prawną przetwarzania są:</w:t>
      </w:r>
    </w:p>
    <w:p>
      <w:pPr>
        <w:pStyle w:val="NormalWeb"/>
        <w:numPr>
          <w:ilvl w:val="0"/>
          <w:numId w:val="4"/>
        </w:numPr>
        <w:spacing w:beforeAutospacing="0" w:before="0" w:afterAutospacing="0" w:after="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b/>
          <w:bCs/>
          <w:sz w:val="20"/>
          <w:szCs w:val="20"/>
        </w:rPr>
        <w:t>Art. 9 ust. 2 lit h</w:t>
      </w:r>
      <w:r>
        <w:rPr>
          <w:rFonts w:cs="Calibri" w:ascii="Verdana" w:hAnsi="Verdana" w:cstheme="minorHAnsi"/>
          <w:sz w:val="20"/>
          <w:szCs w:val="20"/>
        </w:rPr>
        <w:t xml:space="preserve"> RODO w związku z ustawą z dnia 06 listopada 2008 roku o prawach pacjenta i Rzeczniku Praw Pacjenta, ustawa z dnia 05 grudnia 2008 roku o zapobieganiu oraz zwalczaniu zakażeń i chorób zakaźnych u ludzi, art. 54 ustawy z dnia 25 czerwca 1999 roku o świadczeniach pieniężnych z ubezpieczenia społecznego w razie choroby i  macierzyństwa lub innych właściwych przepisów z zakresu prawa ubezpieczeń społecznych, inne przepisy szczegółowe regulujące udzielanie świadczeń opieki zdrowotnej;</w:t>
      </w:r>
    </w:p>
    <w:p>
      <w:pPr>
        <w:pStyle w:val="NormalWeb"/>
        <w:numPr>
          <w:ilvl w:val="0"/>
          <w:numId w:val="4"/>
        </w:numPr>
        <w:spacing w:beforeAutospacing="0" w:before="0" w:afterAutospacing="0" w:after="12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b/>
          <w:bCs/>
          <w:sz w:val="20"/>
          <w:szCs w:val="20"/>
        </w:rPr>
        <w:t>Art. 6 ust. 1 lit</w:t>
      </w:r>
      <w:r>
        <w:rPr>
          <w:rFonts w:cs="Calibri" w:ascii="Verdana" w:hAnsi="Verdana" w:cstheme="minorHAnsi"/>
          <w:sz w:val="20"/>
          <w:szCs w:val="20"/>
        </w:rPr>
        <w:t xml:space="preserve"> </w:t>
      </w:r>
      <w:r>
        <w:rPr>
          <w:rFonts w:cs="Calibri" w:ascii="Verdana" w:hAnsi="Verdana" w:cstheme="minorHAnsi"/>
          <w:b/>
          <w:bCs/>
          <w:sz w:val="20"/>
          <w:szCs w:val="20"/>
        </w:rPr>
        <w:t>a</w:t>
      </w:r>
      <w:r>
        <w:rPr>
          <w:rFonts w:cs="Calibri" w:ascii="Verdana" w:hAnsi="Verdana" w:cstheme="minorHAnsi"/>
          <w:sz w:val="20"/>
          <w:szCs w:val="20"/>
        </w:rPr>
        <w:t xml:space="preserve"> - zgoda na przetwarzanie danych osobowych Pacjenta w innych celach niż w tych wymienionych w pkt 3 np. w celach marketingowych następuje na podstawie świadomej, dobrowolnej i jednoznacznej Państwa zgody.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 xml:space="preserve">Podanie przez Państwa jako pacjenta danych osobowych w celach ochrony zdrowia jest wymogiem ustawowym i dotyczy każdego pacjenta. Są Państwo zobowiązani do ich podania, a konsekwencją niepodania danych osobowych może być odmowa udzielenia świadczenia zdrowotnego, z zastrzeżeniem sytuacji nagłych dla ratowania życia i zdrowia. Mogą Państwo również podać nam dodatkowe dane np. numer telefonu czy adres e-mail, celem usprawnienia kontaktu. Podanie tych danych jest w pełni dobrowolne i nie wpływa na zakres udzielanych świadczeń opieki zdrowotnej, ani też nie jest niezbędne celem udzielania tych świadczeń przez podmiot leczniczy. Podstawą prawną przetwarzania danych podanych dobrowolnie jest Państwa zgoda – art. 6 ust. 1 lit. a) RODO. Mają Państwo prawo dostępu do treści swoich danych i ich poprawiania, a także do wycofania wyrażonej zgody w dowolnym czasie i dowolnej formie. Wycofanie zgody nie wpływa na zgodność z prawem przetwarzania, którego dokonano na podstawie zgody przed jej wycofaniem. </w:t>
      </w:r>
    </w:p>
    <w:p>
      <w:pPr>
        <w:pStyle w:val="NormalWeb"/>
        <w:numPr>
          <w:ilvl w:val="0"/>
          <w:numId w:val="1"/>
        </w:numPr>
        <w:spacing w:before="0" w:afterAutospacing="0" w:after="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Państwa dane osobowe przetwarzane są wyłącznie w zakresie związanym z realizacją powyższych celów. Jako podmiot leczniczy dbamy o poufność danych. Nie udostępniamy danych innym odbiorcom oprócz podmiotów upoważnionych na podstawie przepisów prawa.</w:t>
      </w:r>
    </w:p>
    <w:p>
      <w:pPr>
        <w:pStyle w:val="NormalWeb"/>
        <w:numPr>
          <w:ilvl w:val="0"/>
          <w:numId w:val="1"/>
        </w:numPr>
        <w:spacing w:before="280" w:afterAutospacing="0" w:after="0"/>
        <w:ind w:hanging="426" w:left="426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Administrator nie zamierza przekazywać danych do państwa trzeciego ani do organizacji międzynarodowych.</w:t>
      </w:r>
    </w:p>
    <w:p>
      <w:pPr>
        <w:pStyle w:val="NormalWeb"/>
        <w:numPr>
          <w:ilvl w:val="0"/>
          <w:numId w:val="1"/>
        </w:numPr>
        <w:spacing w:before="280" w:after="12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Dane będą przechowywane nie dłużej niż jest to konieczne, tj. przez okres wyznaczony właściwymi przepisami prawa. Dane osobowe zawarte w dokumentacji medycznej będą przetwarzane zgodnie z wymogami art. 29 ust. 1 ustawy z 6 listopada 2008 r. o prawach pacjenta i Rzeczniku Praw Pacjenta (Dz. U. z 2020 r. poz. 849), tj. przez okres 20 lat, licząc od końca roku kalendarzowego, w którym dokonano ostatniego wpisu, z wyjątkiem:</w:t>
      </w:r>
    </w:p>
    <w:p>
      <w:pPr>
        <w:pStyle w:val="NormalWeb"/>
        <w:numPr>
          <w:ilvl w:val="0"/>
          <w:numId w:val="5"/>
        </w:numPr>
        <w:spacing w:before="280" w:after="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dokumentacji medycznej w przypadku zgonu pacjenta na skutek uszkodzenia ciała lub zatrucia, która będzie przechowywana przez okres 30 lat, licząc od końca roku kalendarzowego, w którym nastąpił zgon,</w:t>
      </w:r>
    </w:p>
    <w:p>
      <w:pPr>
        <w:pStyle w:val="NormalWeb"/>
        <w:numPr>
          <w:ilvl w:val="0"/>
          <w:numId w:val="5"/>
        </w:numPr>
        <w:spacing w:before="0" w:after="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dokumentacji medycznej zawierającej dane niezbędne do monitorowania losów krwi i jej składników, która będzie przechowywana przez okres 30 lat, licząc od końca roku kalendarzowego, w którym dokonano ostatniego wpisu,</w:t>
      </w:r>
    </w:p>
    <w:p>
      <w:pPr>
        <w:pStyle w:val="NormalWeb"/>
        <w:numPr>
          <w:ilvl w:val="0"/>
          <w:numId w:val="5"/>
        </w:numPr>
        <w:spacing w:before="0" w:after="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zdjęć rentgenowskich przechowywanych poza dokumentacją medyczną pacjenta, które będą przechowywane przez okres 10 lat, licząc od końca roku kalendarzowego, w którym wykonano zdjęcie,</w:t>
      </w:r>
    </w:p>
    <w:p>
      <w:pPr>
        <w:pStyle w:val="NormalWeb"/>
        <w:numPr>
          <w:ilvl w:val="0"/>
          <w:numId w:val="5"/>
        </w:numPr>
        <w:spacing w:before="0" w:after="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skierowań na badania lub zleceń lekarza, które będą przechowywane przez okres 5 lat, licząc od końca roku kalendarzowego, w którym udzielono świadczenia zdrowotnego będącego przedmiotem skierowania lub zlecenia lekarza, a przypadkach, gdy świadczenie nie zostało udzielone z powodu niezgłoszenia się pacjenta w ustalonym terminie -  przez okres 2 lat, chyba że pacjent odebrał skierowanie,</w:t>
      </w:r>
    </w:p>
    <w:p>
      <w:pPr>
        <w:pStyle w:val="NormalWeb"/>
        <w:numPr>
          <w:ilvl w:val="0"/>
          <w:numId w:val="5"/>
        </w:numPr>
        <w:spacing w:before="0" w:afterAutospacing="0" w:after="120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dokumentacji medycznej dotyczącej dzieci do ukończenia 2. roku życia, która będzie przechowywana przez okres 22 lat</w:t>
      </w:r>
    </w:p>
    <w:p>
      <w:pPr>
        <w:pStyle w:val="NormalWeb"/>
        <w:numPr>
          <w:ilvl w:val="0"/>
          <w:numId w:val="1"/>
        </w:numPr>
        <w:spacing w:before="280" w:afterAutospacing="0" w:after="0"/>
        <w:ind w:hanging="426" w:left="426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 xml:space="preserve">Mają Państwo prawo żądać od Administratora dostępu do swoich danych, ich sprostowania, usunięcia </w:t>
        <w:br/>
        <w:t xml:space="preserve">(w przypadku gdy wyrażona była odrębna zgoda na podstawie Art. 6 ust 1 lit. a) lub ograniczenia przetwarzania danych, prawo do wniesienia sprzeciwu wobec przetwarzania, a także prawo do przenoszenia danych. </w:t>
      </w:r>
    </w:p>
    <w:p>
      <w:pPr>
        <w:pStyle w:val="NormalWeb"/>
        <w:numPr>
          <w:ilvl w:val="0"/>
          <w:numId w:val="1"/>
        </w:numPr>
        <w:spacing w:before="280" w:afterAutospacing="0" w:after="0"/>
        <w:ind w:hanging="426" w:left="426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W związku z przetwarzaniem danych osobowych przez Administratora przysługuje Państwu prawo wniesienia skargi do Prezesa Urzędu Ochrony Danych Osobowych, ul. Stawki 2, 00-193 Warszawa .</w:t>
      </w:r>
    </w:p>
    <w:p>
      <w:pPr>
        <w:pStyle w:val="NormalWeb"/>
        <w:numPr>
          <w:ilvl w:val="0"/>
          <w:numId w:val="1"/>
        </w:numPr>
        <w:spacing w:before="280" w:afterAutospacing="0" w:after="120"/>
        <w:ind w:hanging="426" w:left="426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 xml:space="preserve">W oparciu o dane osobowe Administrator </w:t>
      </w:r>
      <w:r>
        <w:rPr>
          <w:rFonts w:cs="Calibri" w:ascii="Verdana" w:hAnsi="Verdana" w:cstheme="minorHAnsi"/>
          <w:iCs/>
          <w:sz w:val="20"/>
          <w:szCs w:val="20"/>
        </w:rPr>
        <w:t>nie będzie</w:t>
      </w:r>
      <w:r>
        <w:rPr>
          <w:rFonts w:cs="Calibri" w:ascii="Verdana" w:hAnsi="Verdana" w:cstheme="minorHAnsi"/>
          <w:sz w:val="20"/>
          <w:szCs w:val="20"/>
        </w:rPr>
        <w:t xml:space="preserve"> podejmował zautomatyzowanych decyzji, w tym decyzji będących wynikiem profilowania. 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Oświadczam, że zapoznałem się  z treścią klauzuli.</w:t>
      </w:r>
    </w:p>
    <w:p>
      <w:pPr>
        <w:pStyle w:val="Normal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</w:t>
      </w:r>
    </w:p>
    <w:p>
      <w:pPr>
        <w:pStyle w:val="Normal"/>
        <w:spacing w:before="0" w:after="20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i czytelny podpis</w:t>
      </w:r>
    </w:p>
    <w:sectPr>
      <w:type w:val="nextPage"/>
      <w:pgSz w:w="11906" w:h="16838"/>
      <w:pgMar w:left="851" w:right="849" w:gutter="0" w:header="0" w:top="709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  <w:rFonts w:ascii="Calibri" w:hAnsi="Calibri" w:cs="Calibri" w:asciiTheme="minorHAnsi" w:cstheme="minorHAnsi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8" w:hanging="360"/>
      </w:pPr>
      <w:rPr>
        <w:rFonts w:ascii="Calibri" w:hAnsi="Calibri" w:cs="Calibri" w:asciiTheme="minorHAnsi" w:cstheme="minorHAnsi" w:hAnsiTheme="minorHAnsi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/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eastAsia="Times New Roman" w:cs="Calibri" w:asciiTheme="minorHAnsi" w:cstheme="minorHAnsi" w:hAnsi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b20af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LibreOffice/24.2.2.2$Windows_X86_64 LibreOffice_project/d56cc158d8a96260b836f100ef4b4ef25d6f1a01</Application>
  <AppVersion>15.0000</AppVersion>
  <Pages>2</Pages>
  <Words>815</Words>
  <Characters>5042</Characters>
  <CharactersWithSpaces>5821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2024-08-02T12:25:00Z</dcterms:created>
  <dc:creator>DELL</dc:creator>
  <dc:description/>
  <dc:language>pl-PL</dc:language>
  <cp:lastModifiedBy/>
  <dcterms:modified xsi:type="dcterms:W3CDTF">2025-03-17T14:08:44Z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